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850.3937007874016" w:right="-787.7952755905511" w:firstLine="0"/>
        <w:jc w:val="center"/>
        <w:rPr>
          <w:rFonts w:ascii="Arial" w:cs="Arial" w:eastAsia="Arial" w:hAnsi="Arial"/>
          <w:b w:val="1"/>
          <w:color w:val="222222"/>
          <w:sz w:val="20"/>
          <w:szCs w:val="20"/>
        </w:rPr>
      </w:pPr>
      <w:bookmarkStart w:colFirst="0" w:colLast="0" w:name="_heading=h.vi63z89fpg6m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INFORMATIVO N°12/2025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COMUNICADO OFICIAL A MADRES, PADRES Y APODERADOS/AS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Colegio Presidente Eduardo Frei Montalva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right="-787.7952755905511"/>
        <w:jc w:val="right"/>
        <w:rPr>
          <w:rFonts w:ascii="Arial" w:cs="Arial" w:eastAsia="Arial" w:hAnsi="Arial"/>
        </w:rPr>
      </w:pPr>
      <w:bookmarkStart w:colFirst="0" w:colLast="0" w:name="_heading=h.p582dmntwh1r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22 de mayo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Junto con saludar cordialmente, informamos que, en el contexto comunal, se está llevando a cabo un proceso de negociación colectiva entre el Colegio de Profesores Comunal Ñuñoa, el Sindicato de Trabajadores de la Educación de Ñuñoa (SIED) y la Corporación Municipal de Desarrollo Social de Ñuñoa (CMDS). Lamentablemente, hasta la fecha, las partes involucradas no han logrado alcanzar un acuerdo.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 raíz de esta situación, hemos sido informados oficialmente que, a partir del lunes 26 de mayo, se dará inicio a un paro indefinido, cuya continuidad será evaluada diariamente, en función del avance de las conversaciones entre los gremios y la CMDS.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En este escenario, queremos comunicar a ustedes las siguientes medidas que ha tomado nuestro establecimiento: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El servicio de alimentación JUNAEB será entregado  con normalidad:  Desayuno en el primer recreo y almuerzo a partir de las 13:00 horas, para los y las estudiantes que lo requieran.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Con el fin de no interrumpir el desarrollo de los talleres extraprogramáticos, estos continuarán realizándose en un nuevo horario: 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Lunes, de 13:30 a 15:00 horas, horario que se mantendrá durante los días siguientes, en caso de prolongarse el paro.</w:t>
      </w:r>
    </w:p>
    <w:p w:rsidR="00000000" w:rsidDel="00000000" w:rsidP="00000000" w:rsidRDefault="00000000" w:rsidRPr="00000000" w14:paraId="0000000C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•⁠  ⁠Cheerleader 4º 5º 6º básicos: adelanta horario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•⁠  ⁠⁠Fútbol masculino 1º 2º 3º básicos: adelanta horario</w:t>
      </w:r>
    </w:p>
    <w:p w:rsidR="00000000" w:rsidDel="00000000" w:rsidP="00000000" w:rsidRDefault="00000000" w:rsidRPr="00000000" w14:paraId="0000000E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•⁠  ⁠⁠Masterchef 4º 5º 6º: adelanta horario</w:t>
      </w:r>
    </w:p>
    <w:p w:rsidR="00000000" w:rsidDel="00000000" w:rsidP="00000000" w:rsidRDefault="00000000" w:rsidRPr="00000000" w14:paraId="0000000F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•⁠  ⁠⁠yoga 1º 2º 3º: adelanta horario</w:t>
      </w:r>
    </w:p>
    <w:p w:rsidR="00000000" w:rsidDel="00000000" w:rsidP="00000000" w:rsidRDefault="00000000" w:rsidRPr="00000000" w14:paraId="00000010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•⁠  ⁠⁠escritura creativa 4º 5º 6º adelanta horario</w:t>
      </w:r>
    </w:p>
    <w:p w:rsidR="00000000" w:rsidDel="00000000" w:rsidP="00000000" w:rsidRDefault="00000000" w:rsidRPr="00000000" w14:paraId="00000011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La información de realización de talleres será informada día a día en base a las conversaciones que se den entre los Gremios Sindicales y la CMDS.</w:t>
      </w:r>
    </w:p>
    <w:p w:rsidR="00000000" w:rsidDel="00000000" w:rsidP="00000000" w:rsidRDefault="00000000" w:rsidRPr="00000000" w14:paraId="00000012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Agradecemos de antemano su comprensión y apoyo ante esta contingencia. Los mantendremos informados oportunamente respecto a cualquier cambio en la situación.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2029778</wp:posOffset>
            </wp:positionH>
            <wp:positionV relativeFrom="paragraph">
              <wp:posOffset>485775</wp:posOffset>
            </wp:positionV>
            <wp:extent cx="1552990" cy="989166"/>
            <wp:effectExtent b="0" l="0" r="0" t="0"/>
            <wp:wrapNone/>
            <wp:docPr id="5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990" cy="9891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hd w:fill="ffffff" w:val="clear"/>
        <w:spacing w:after="0" w:before="24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76" w:lineRule="auto"/>
        <w:ind w:left="-850.3937007874016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Oscar Silva Urra 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76" w:lineRule="auto"/>
        <w:ind w:left="-850.3937007874016" w:right="-787.795275590551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Director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283.4645669291338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D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-600074</wp:posOffset>
          </wp:positionH>
          <wp:positionV relativeFrom="paragraph">
            <wp:posOffset>-219074</wp:posOffset>
          </wp:positionV>
          <wp:extent cx="677228" cy="677228"/>
          <wp:effectExtent b="0" l="0" r="0" t="0"/>
          <wp:wrapNone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7228" cy="6772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-266699</wp:posOffset>
          </wp:positionV>
          <wp:extent cx="1964757" cy="676275"/>
          <wp:effectExtent b="0" l="0" r="0" t="0"/>
          <wp:wrapNone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757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iINXeQFetwWOfy8cpfcKJWWIw==">CgMxLjAyDmgudmk2M3o4OWZwZzZtMg5oLnA1ODJkbW50d2gxcjgAciExa0RUaDZ2OWtEb3RPVmNveUE4YU4ydWRyNER1RTU3aUo=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